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5FE2D" w14:textId="2F983E11" w:rsidR="00A941DF" w:rsidRPr="00DF7758" w:rsidRDefault="00A941DF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bookmarkStart w:id="0" w:name="OLE_LINK1"/>
      <w:bookmarkStart w:id="1" w:name="OLE_LINK2"/>
      <w:r w:rsidRPr="00DF7758">
        <w:rPr>
          <w:rFonts w:eastAsia="Times New Roman" w:cs="Arial"/>
          <w:bCs/>
          <w:noProof w:val="0"/>
          <w:sz w:val="22"/>
        </w:rPr>
        <w:t xml:space="preserve">3GPP TSG RAN WG1 </w:t>
      </w:r>
      <w:r w:rsidR="005525FD" w:rsidRPr="00DF7758">
        <w:rPr>
          <w:rFonts w:eastAsia="Times New Roman" w:cs="Arial"/>
          <w:bCs/>
          <w:noProof w:val="0"/>
          <w:sz w:val="22"/>
        </w:rPr>
        <w:t xml:space="preserve">Ad-Hoc </w:t>
      </w:r>
      <w:r w:rsidRPr="00DF7758">
        <w:rPr>
          <w:rFonts w:eastAsia="Times New Roman" w:cs="Arial"/>
          <w:bCs/>
          <w:noProof w:val="0"/>
          <w:sz w:val="22"/>
        </w:rPr>
        <w:t xml:space="preserve">Meeting </w:t>
      </w:r>
      <w:r w:rsidR="005525FD" w:rsidRPr="00DF7758">
        <w:rPr>
          <w:rFonts w:eastAsia="Times New Roman" w:cs="Arial"/>
          <w:bCs/>
          <w:noProof w:val="0"/>
          <w:sz w:val="22"/>
        </w:rPr>
        <w:t>1901</w:t>
      </w:r>
      <w:r w:rsidRPr="00DF7758">
        <w:rPr>
          <w:rFonts w:eastAsia="Times New Roman" w:cs="Arial" w:hint="eastAsia"/>
          <w:bCs/>
          <w:noProof w:val="0"/>
          <w:sz w:val="22"/>
        </w:rPr>
        <w:tab/>
      </w:r>
      <w:r w:rsidR="00DF7758">
        <w:rPr>
          <w:rFonts w:eastAsia="Times New Roman" w:cs="Arial"/>
          <w:bCs/>
          <w:noProof w:val="0"/>
          <w:sz w:val="22"/>
        </w:rPr>
        <w:tab/>
      </w:r>
      <w:r w:rsidR="005525FD" w:rsidRPr="00B963A5">
        <w:rPr>
          <w:rFonts w:eastAsia="Times New Roman" w:cs="Arial"/>
          <w:bCs/>
          <w:noProof w:val="0"/>
          <w:sz w:val="22"/>
        </w:rPr>
        <w:t>R1-190</w:t>
      </w:r>
      <w:r w:rsidR="00CA55F1">
        <w:rPr>
          <w:rFonts w:eastAsia="Times New Roman" w:cs="Arial"/>
          <w:bCs/>
          <w:noProof w:val="0"/>
          <w:sz w:val="22"/>
        </w:rPr>
        <w:t>1036</w:t>
      </w:r>
      <w:bookmarkStart w:id="2" w:name="_GoBack"/>
      <w:bookmarkEnd w:id="2"/>
    </w:p>
    <w:bookmarkEnd w:id="0"/>
    <w:bookmarkEnd w:id="1"/>
    <w:p w14:paraId="38D4F591" w14:textId="5C852AA6" w:rsidR="00A941DF" w:rsidRPr="00DF7758" w:rsidRDefault="005525FD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DF7758">
        <w:rPr>
          <w:rFonts w:eastAsia="Times New Roman" w:cs="Arial"/>
          <w:bCs/>
          <w:noProof w:val="0"/>
          <w:sz w:val="22"/>
        </w:rPr>
        <w:t>Taipei</w:t>
      </w:r>
      <w:r w:rsidR="00A941DF" w:rsidRPr="00DF7758">
        <w:rPr>
          <w:rFonts w:eastAsia="Times New Roman" w:cs="Arial"/>
          <w:bCs/>
          <w:noProof w:val="0"/>
          <w:sz w:val="22"/>
        </w:rPr>
        <w:t xml:space="preserve">, </w:t>
      </w:r>
      <w:r w:rsidRPr="00DF7758">
        <w:rPr>
          <w:rFonts w:eastAsia="Times New Roman" w:cs="Arial"/>
          <w:bCs/>
          <w:noProof w:val="0"/>
          <w:sz w:val="22"/>
        </w:rPr>
        <w:t>Taiwan</w:t>
      </w:r>
      <w:r w:rsidR="00A941DF" w:rsidRPr="00DF7758">
        <w:rPr>
          <w:rFonts w:eastAsia="Times New Roman" w:cs="Arial"/>
          <w:bCs/>
          <w:noProof w:val="0"/>
          <w:sz w:val="22"/>
        </w:rPr>
        <w:t xml:space="preserve">, </w:t>
      </w:r>
      <w:r w:rsidRPr="00DF7758">
        <w:rPr>
          <w:rFonts w:eastAsia="Times New Roman" w:cs="Arial"/>
          <w:bCs/>
          <w:noProof w:val="0"/>
          <w:sz w:val="22"/>
        </w:rPr>
        <w:t>January 21st – 25th, 2019</w:t>
      </w:r>
    </w:p>
    <w:p w14:paraId="1FA83FBB" w14:textId="77777777" w:rsidR="00DF7758" w:rsidRDefault="00DF7758" w:rsidP="008E6CE3">
      <w:pPr>
        <w:tabs>
          <w:tab w:val="left" w:pos="1985"/>
        </w:tabs>
        <w:rPr>
          <w:rFonts w:ascii="Arial" w:hAnsi="Arial"/>
          <w:b/>
          <w:sz w:val="24"/>
        </w:rPr>
      </w:pPr>
    </w:p>
    <w:p w14:paraId="7B714490" w14:textId="265C0577" w:rsidR="00DF7758" w:rsidRPr="00C84EEC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Pr="00C84EEC">
        <w:rPr>
          <w:rFonts w:ascii="Arial" w:hAnsi="Arial" w:cs="Arial"/>
        </w:rPr>
        <w:t>[DRAFT]</w:t>
      </w:r>
      <w:r w:rsidRPr="00C84EEC">
        <w:rPr>
          <w:rFonts w:ascii="Arial" w:hAnsi="Arial" w:cs="Arial"/>
          <w:bCs/>
        </w:rPr>
        <w:t xml:space="preserve"> LS on SCS of SSB and SS raster for NR-U</w:t>
      </w:r>
      <w:r w:rsidR="00832A8E">
        <w:rPr>
          <w:rFonts w:ascii="Arial" w:hAnsi="Arial" w:cs="Arial"/>
          <w:bCs/>
        </w:rPr>
        <w:t xml:space="preserve"> bands</w:t>
      </w:r>
    </w:p>
    <w:p w14:paraId="5D49BE77" w14:textId="1AD800A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Pr="00DF7758">
        <w:rPr>
          <w:rFonts w:ascii="Arial" w:hAnsi="Arial" w:cs="Arial"/>
          <w:bCs/>
        </w:rPr>
        <w:tab/>
        <w:t>Rel-16</w:t>
      </w:r>
    </w:p>
    <w:p w14:paraId="711CB2E5" w14:textId="25D30CC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</w:r>
      <w:proofErr w:type="spellStart"/>
      <w:r w:rsidRPr="00DF7758">
        <w:rPr>
          <w:rFonts w:ascii="Arial" w:hAnsi="Arial" w:cs="Arial"/>
          <w:bCs/>
        </w:rPr>
        <w:t>NR_unlic</w:t>
      </w:r>
      <w:proofErr w:type="spellEnd"/>
      <w:r w:rsidRPr="00DF7758">
        <w:rPr>
          <w:rFonts w:ascii="Arial" w:hAnsi="Arial" w:cs="Arial"/>
          <w:bCs/>
        </w:rPr>
        <w:t>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0E8F935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WG1</w:t>
      </w:r>
    </w:p>
    <w:p w14:paraId="2F669F05" w14:textId="4C9FFE76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WG4</w:t>
      </w:r>
    </w:p>
    <w:p w14:paraId="0EEF4475" w14:textId="14F06DDF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E49A9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Cs/>
          <w:lang w:eastAsia="en-US"/>
        </w:rPr>
      </w:pPr>
      <w:r w:rsidRPr="00DF7758">
        <w:rPr>
          <w:rFonts w:ascii="Arial" w:eastAsia="Times New Roman" w:hAnsi="Arial" w:cs="Arial"/>
          <w:b/>
          <w:lang w:eastAsia="en-US"/>
        </w:rPr>
        <w:t>Contact Person:</w:t>
      </w:r>
      <w:r w:rsidRPr="00DF7758">
        <w:rPr>
          <w:rFonts w:ascii="Arial" w:eastAsia="Times New Roman" w:hAnsi="Arial" w:cs="Arial"/>
          <w:bCs/>
          <w:lang w:eastAsia="en-US"/>
        </w:rPr>
        <w:tab/>
      </w:r>
    </w:p>
    <w:p w14:paraId="5631CBFB" w14:textId="15941934" w:rsidR="00DF7758" w:rsidRPr="00DF7758" w:rsidRDefault="00DF7758" w:rsidP="00DF7758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  <w:lang w:eastAsia="en-US"/>
        </w:rPr>
      </w:pPr>
      <w:r w:rsidRPr="00DF7758">
        <w:rPr>
          <w:rFonts w:ascii="Arial" w:eastAsia="Times New Roman" w:hAnsi="Arial" w:cs="Arial"/>
          <w:b/>
          <w:lang w:eastAsia="en-US"/>
        </w:rPr>
        <w:t>Name:</w:t>
      </w:r>
      <w:r w:rsidRPr="00DF7758">
        <w:rPr>
          <w:rFonts w:ascii="Arial" w:eastAsia="Times New Roman" w:hAnsi="Arial" w:cs="Arial"/>
          <w:bCs/>
          <w:lang w:eastAsia="en-US"/>
        </w:rPr>
        <w:tab/>
      </w:r>
      <w:r>
        <w:rPr>
          <w:rFonts w:ascii="Arial" w:eastAsia="Times New Roman" w:hAnsi="Arial" w:cs="Arial"/>
          <w:bCs/>
          <w:lang w:eastAsia="en-US"/>
        </w:rPr>
        <w:t>Hongbo Si</w:t>
      </w:r>
    </w:p>
    <w:p w14:paraId="4F6B4680" w14:textId="182E5F25" w:rsidR="00DF7758" w:rsidRPr="00DF7758" w:rsidRDefault="00DF7758" w:rsidP="00DF7758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  <w:color w:val="0000FF"/>
          <w:lang w:eastAsia="en-US"/>
        </w:rPr>
      </w:pPr>
      <w:r w:rsidRPr="00DF7758">
        <w:rPr>
          <w:rFonts w:ascii="Arial" w:eastAsia="Times New Roman" w:hAnsi="Arial" w:cs="Arial"/>
          <w:b/>
          <w:color w:val="0000FF"/>
          <w:lang w:eastAsia="en-US"/>
        </w:rPr>
        <w:t>E-mail Address:</w:t>
      </w:r>
      <w:r w:rsidRPr="00DF7758">
        <w:rPr>
          <w:rFonts w:ascii="Arial" w:eastAsia="Times New Roman" w:hAnsi="Arial" w:cs="Arial"/>
          <w:bCs/>
          <w:color w:val="0000FF"/>
          <w:lang w:eastAsia="en-US"/>
        </w:rPr>
        <w:tab/>
      </w:r>
      <w:proofErr w:type="spellStart"/>
      <w:r>
        <w:rPr>
          <w:rFonts w:ascii="Arial" w:eastAsia="Times New Roman" w:hAnsi="Arial" w:cs="Arial"/>
          <w:bCs/>
          <w:color w:val="0000FF"/>
          <w:lang w:eastAsia="en-US"/>
        </w:rPr>
        <w:t>Hongbo_dot_si_at_samsung_dot_com</w:t>
      </w:r>
      <w:proofErr w:type="spellEnd"/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7A81CF" w14:textId="344CF934" w:rsidR="00834AC8" w:rsidRPr="00EF08AE" w:rsidRDefault="00834AC8" w:rsidP="009002D9">
      <w:pPr>
        <w:jc w:val="both"/>
        <w:rPr>
          <w:rFonts w:ascii="Arial" w:hAnsi="Arial" w:cs="Arial"/>
        </w:rPr>
      </w:pPr>
      <w:r w:rsidRPr="00EF08AE">
        <w:rPr>
          <w:rFonts w:ascii="Arial" w:hAnsi="Arial" w:cs="Arial"/>
        </w:rPr>
        <w:t xml:space="preserve">RAN1 has agreed </w:t>
      </w:r>
      <w:r w:rsidR="00D34E9E" w:rsidRPr="00EF08AE">
        <w:rPr>
          <w:rFonts w:ascii="Arial" w:hAnsi="Arial" w:cs="Arial"/>
        </w:rPr>
        <w:t>to support</w:t>
      </w:r>
      <w:r w:rsidRPr="00EF08AE">
        <w:rPr>
          <w:rFonts w:ascii="Arial" w:hAnsi="Arial" w:cs="Arial"/>
        </w:rPr>
        <w:t xml:space="preserve"> single SCS</w:t>
      </w:r>
      <w:r w:rsidRPr="00EF08AE">
        <w:t xml:space="preserve"> </w:t>
      </w:r>
      <w:r w:rsidRPr="00EF08AE">
        <w:rPr>
          <w:rFonts w:ascii="Arial" w:hAnsi="Arial" w:cs="Arial"/>
        </w:rPr>
        <w:t xml:space="preserve">for SS/PBCH block on an unlicensed </w:t>
      </w:r>
      <w:proofErr w:type="spellStart"/>
      <w:r w:rsidRPr="00EF08AE">
        <w:rPr>
          <w:rFonts w:ascii="Arial" w:hAnsi="Arial" w:cs="Arial"/>
        </w:rPr>
        <w:t>PCell</w:t>
      </w:r>
      <w:proofErr w:type="spellEnd"/>
      <w:r w:rsidRPr="00EF08AE">
        <w:rPr>
          <w:rFonts w:ascii="Arial" w:hAnsi="Arial" w:cs="Arial"/>
        </w:rPr>
        <w:t xml:space="preserve"> per band, and has discussed the value of single SCS at least for 5 GHz unlicensed band. It is RAN1</w:t>
      </w:r>
      <w:r w:rsidR="00001F0A">
        <w:rPr>
          <w:rFonts w:ascii="Arial" w:hAnsi="Arial" w:cs="Arial"/>
        </w:rPr>
        <w:t>’s</w:t>
      </w:r>
      <w:r w:rsidRPr="00EF08AE">
        <w:rPr>
          <w:rFonts w:ascii="Arial" w:hAnsi="Arial" w:cs="Arial"/>
        </w:rPr>
        <w:t xml:space="preserve"> understanding that, at least for 5 GHz unlicensed band, supporting 30 kHz SCS for SS/PBCH block on an unlicensed </w:t>
      </w:r>
      <w:proofErr w:type="spellStart"/>
      <w:r w:rsidRPr="00EF08AE">
        <w:rPr>
          <w:rFonts w:ascii="Arial" w:hAnsi="Arial" w:cs="Arial"/>
        </w:rPr>
        <w:t>PCell</w:t>
      </w:r>
      <w:proofErr w:type="spellEnd"/>
      <w:r w:rsidRPr="00EF08AE">
        <w:rPr>
          <w:rFonts w:ascii="Arial" w:hAnsi="Arial" w:cs="Arial"/>
        </w:rPr>
        <w:t xml:space="preserve"> is beneficial in achieving better initial cell search performance and smaller time-domain overhead, comparing to 15 kHz. Hence, RAN1 recommends, at least for 5 GHz unlicensed band, supporting 30 kHz </w:t>
      </w:r>
      <w:r w:rsidR="00D34E9E" w:rsidRPr="00EF08AE">
        <w:rPr>
          <w:rFonts w:ascii="Arial" w:hAnsi="Arial" w:cs="Arial"/>
        </w:rPr>
        <w:t xml:space="preserve">as the single </w:t>
      </w:r>
      <w:r w:rsidRPr="00EF08AE">
        <w:rPr>
          <w:rFonts w:ascii="Arial" w:hAnsi="Arial" w:cs="Arial"/>
        </w:rPr>
        <w:t xml:space="preserve">SCS for SS/PBCH block on an unlicensed </w:t>
      </w:r>
      <w:proofErr w:type="spellStart"/>
      <w:r w:rsidRPr="00EF08AE">
        <w:rPr>
          <w:rFonts w:ascii="Arial" w:hAnsi="Arial" w:cs="Arial"/>
        </w:rPr>
        <w:t>PCell</w:t>
      </w:r>
      <w:proofErr w:type="spellEnd"/>
      <w:r w:rsidR="00D34E9E" w:rsidRPr="00EF08AE">
        <w:rPr>
          <w:rFonts w:ascii="Arial" w:hAnsi="Arial" w:cs="Arial"/>
        </w:rPr>
        <w:t>.</w:t>
      </w:r>
      <w:r w:rsidRPr="00EF08AE">
        <w:rPr>
          <w:rFonts w:ascii="Arial" w:hAnsi="Arial" w:cs="Arial"/>
        </w:rPr>
        <w:t xml:space="preserve"> </w:t>
      </w:r>
      <w:r w:rsidR="00D34E9E" w:rsidRPr="00EF08AE">
        <w:rPr>
          <w:rFonts w:ascii="Arial" w:hAnsi="Arial" w:cs="Arial"/>
        </w:rPr>
        <w:t xml:space="preserve">RAN1 respectfully asks RAN4 </w:t>
      </w:r>
      <w:r w:rsidR="009002D9" w:rsidRPr="00EF08AE">
        <w:rPr>
          <w:rFonts w:ascii="Arial" w:hAnsi="Arial" w:cs="Arial"/>
        </w:rPr>
        <w:t>to provide feedback if the recommendation conflicts with</w:t>
      </w:r>
      <w:r w:rsidR="00D73967" w:rsidRPr="00EF08AE">
        <w:rPr>
          <w:rFonts w:ascii="Arial" w:hAnsi="Arial" w:cs="Arial"/>
        </w:rPr>
        <w:t xml:space="preserve"> RAN4’s </w:t>
      </w:r>
      <w:r w:rsidR="009002D9" w:rsidRPr="00EF08AE">
        <w:rPr>
          <w:rFonts w:ascii="Arial" w:hAnsi="Arial" w:cs="Arial"/>
        </w:rPr>
        <w:t>decision</w:t>
      </w:r>
      <w:r w:rsidR="00D73967" w:rsidRPr="00EF08AE">
        <w:rPr>
          <w:rFonts w:ascii="Arial" w:hAnsi="Arial" w:cs="Arial"/>
        </w:rPr>
        <w:t xml:space="preserve">. </w:t>
      </w:r>
    </w:p>
    <w:p w14:paraId="471B72B2" w14:textId="3D0C77E9" w:rsidR="00DF7758" w:rsidRPr="00EF08AE" w:rsidRDefault="00A13996" w:rsidP="009002D9">
      <w:pPr>
        <w:jc w:val="both"/>
        <w:rPr>
          <w:rFonts w:ascii="Arial" w:hAnsi="Arial" w:cs="Arial"/>
          <w:i/>
          <w:iCs/>
        </w:rPr>
      </w:pPr>
      <w:r w:rsidRPr="00EF08AE">
        <w:rPr>
          <w:rFonts w:ascii="Arial" w:hAnsi="Arial" w:cs="Arial"/>
        </w:rPr>
        <w:t>In RAN1</w:t>
      </w:r>
      <w:r w:rsidR="00001F0A">
        <w:rPr>
          <w:rFonts w:ascii="Arial" w:hAnsi="Arial" w:cs="Arial"/>
        </w:rPr>
        <w:t>’s</w:t>
      </w:r>
      <w:r w:rsidRPr="00EF08AE">
        <w:rPr>
          <w:rFonts w:ascii="Arial" w:hAnsi="Arial" w:cs="Arial"/>
        </w:rPr>
        <w:t xml:space="preserve"> understanding, the SS raster design in RAN4 highly depends on the selection of the SCS of SS/PBCH block per band, and also depends on the channel raster design </w:t>
      </w:r>
      <w:r w:rsidR="009A1E49">
        <w:rPr>
          <w:rFonts w:ascii="Arial" w:hAnsi="Arial" w:cs="Arial"/>
        </w:rPr>
        <w:t>for that given band</w:t>
      </w:r>
      <w:r w:rsidRPr="00EF08AE">
        <w:rPr>
          <w:rFonts w:ascii="Arial" w:hAnsi="Arial" w:cs="Arial"/>
        </w:rPr>
        <w:t>.</w:t>
      </w:r>
      <w:r w:rsidR="009A1E49">
        <w:rPr>
          <w:rFonts w:ascii="Arial" w:hAnsi="Arial" w:cs="Arial"/>
        </w:rPr>
        <w:t xml:space="preserve"> For NR-U, the channelization shall be</w:t>
      </w:r>
      <w:r w:rsidRPr="00EF08AE">
        <w:rPr>
          <w:rFonts w:ascii="Arial" w:hAnsi="Arial" w:cs="Arial"/>
        </w:rPr>
        <w:t xml:space="preserve"> determined subject to the </w:t>
      </w:r>
      <w:r w:rsidR="001E4EDB" w:rsidRPr="00EF08AE">
        <w:rPr>
          <w:rFonts w:ascii="Arial" w:hAnsi="Arial" w:cs="Arial"/>
        </w:rPr>
        <w:t xml:space="preserve">regulation of </w:t>
      </w:r>
      <w:r w:rsidRPr="00EF08AE">
        <w:rPr>
          <w:rFonts w:ascii="Arial" w:hAnsi="Arial" w:cs="Arial"/>
        </w:rPr>
        <w:t>a given unlicensed band</w:t>
      </w:r>
      <w:r w:rsidR="001E4EDB" w:rsidRPr="00EF08AE">
        <w:rPr>
          <w:rFonts w:ascii="Arial" w:hAnsi="Arial" w:cs="Arial"/>
        </w:rPr>
        <w:t>, which could be</w:t>
      </w:r>
      <w:r w:rsidRPr="00EF08AE">
        <w:rPr>
          <w:rFonts w:ascii="Arial" w:hAnsi="Arial" w:cs="Arial"/>
        </w:rPr>
        <w:t xml:space="preserve"> more restricted comparing to the channelization in NR Rel-15. Hence, RAN1 expects the channel raster design and SS raster design for NR-U could </w:t>
      </w:r>
      <w:r w:rsidR="009A1E49">
        <w:rPr>
          <w:rFonts w:ascii="Arial" w:hAnsi="Arial" w:cs="Arial"/>
        </w:rPr>
        <w:t>follow</w:t>
      </w:r>
      <w:r w:rsidRPr="00EF08AE">
        <w:rPr>
          <w:rFonts w:ascii="Arial" w:hAnsi="Arial" w:cs="Arial"/>
        </w:rPr>
        <w:t xml:space="preserve"> different principles from NR Rel-15. To progress work in RAN1, it is important to understand whether </w:t>
      </w:r>
      <w:r w:rsidR="001E4EDB" w:rsidRPr="00EF08AE">
        <w:rPr>
          <w:rFonts w:ascii="Arial" w:hAnsi="Arial" w:cs="Arial"/>
        </w:rPr>
        <w:t xml:space="preserve">the potential changes to the channel raster </w:t>
      </w:r>
      <w:r w:rsidR="009A1E49">
        <w:rPr>
          <w:rFonts w:ascii="Arial" w:hAnsi="Arial" w:cs="Arial"/>
        </w:rPr>
        <w:t>design and SS raster design</w:t>
      </w:r>
      <w:r w:rsidR="001E4EDB" w:rsidRPr="00EF08AE">
        <w:rPr>
          <w:rFonts w:ascii="Arial" w:hAnsi="Arial" w:cs="Arial"/>
        </w:rPr>
        <w:t xml:space="preserve"> in RAN4 could impact the configuration of CORESET #0 in RAN1. </w:t>
      </w:r>
      <w:r w:rsidRPr="00EF08AE">
        <w:rPr>
          <w:rFonts w:ascii="Arial" w:hAnsi="Arial" w:cs="Arial"/>
        </w:rPr>
        <w:t xml:space="preserve">Based on the above discussion, RAN1 respectfully asks RAN4 to strive for completing the channel raster </w:t>
      </w:r>
      <w:r w:rsidR="009A1E49">
        <w:rPr>
          <w:rFonts w:ascii="Arial" w:hAnsi="Arial" w:cs="Arial"/>
        </w:rPr>
        <w:t xml:space="preserve">design </w:t>
      </w:r>
      <w:r w:rsidRPr="00EF08AE">
        <w:rPr>
          <w:rFonts w:ascii="Arial" w:hAnsi="Arial" w:cs="Arial"/>
        </w:rPr>
        <w:t xml:space="preserve">and </w:t>
      </w:r>
      <w:r w:rsidR="009A1E49">
        <w:rPr>
          <w:rFonts w:ascii="Arial" w:hAnsi="Arial" w:cs="Arial"/>
        </w:rPr>
        <w:t>SS raster design</w:t>
      </w:r>
      <w:r w:rsidRPr="00EF08AE">
        <w:rPr>
          <w:rFonts w:ascii="Arial" w:hAnsi="Arial" w:cs="Arial"/>
        </w:rPr>
        <w:t xml:space="preserve"> for NR-U in </w:t>
      </w:r>
      <w:r w:rsidR="004A3DB0">
        <w:rPr>
          <w:rFonts w:ascii="Arial" w:hAnsi="Arial" w:cs="Arial"/>
        </w:rPr>
        <w:t>an</w:t>
      </w:r>
      <w:r w:rsidRPr="00EF08AE">
        <w:rPr>
          <w:rFonts w:ascii="Arial" w:hAnsi="Arial" w:cs="Arial"/>
        </w:rPr>
        <w:t xml:space="preserve"> early stage of the WI. </w:t>
      </w:r>
    </w:p>
    <w:p w14:paraId="030BE498" w14:textId="77777777" w:rsidR="00DF7758" w:rsidRPr="00EF08AE" w:rsidRDefault="00DF7758" w:rsidP="00DF7758">
      <w:pPr>
        <w:pStyle w:val="Header"/>
        <w:rPr>
          <w:rFonts w:cs="Arial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62B6846E" w:rsidR="00DF7758" w:rsidRPr="00EF08AE" w:rsidRDefault="00DF7758" w:rsidP="00DF7758">
      <w:pPr>
        <w:spacing w:after="120"/>
        <w:ind w:left="1985" w:hanging="1985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272FA4" w:rsidRPr="00EF08AE">
        <w:rPr>
          <w:rFonts w:ascii="Arial" w:hAnsi="Arial" w:cs="Arial"/>
          <w:b/>
        </w:rPr>
        <w:t>RAN WG4</w:t>
      </w:r>
      <w:r w:rsidRPr="00EF08AE">
        <w:rPr>
          <w:rFonts w:ascii="Arial" w:hAnsi="Arial" w:cs="Arial"/>
          <w:b/>
        </w:rPr>
        <w:t>.</w:t>
      </w:r>
    </w:p>
    <w:p w14:paraId="39072384" w14:textId="4086AAF6" w:rsidR="00DF7758" w:rsidRPr="00EF08AE" w:rsidRDefault="00DF7758" w:rsidP="00A13996">
      <w:pPr>
        <w:spacing w:after="120"/>
        <w:ind w:left="993" w:hanging="993"/>
        <w:rPr>
          <w:rFonts w:ascii="Arial" w:hAnsi="Arial" w:cs="Arial"/>
          <w:i/>
          <w:iCs/>
        </w:rPr>
      </w:pPr>
      <w:r w:rsidRPr="00EF08AE">
        <w:rPr>
          <w:rFonts w:ascii="Arial" w:hAnsi="Arial" w:cs="Arial"/>
          <w:b/>
        </w:rPr>
        <w:t xml:space="preserve">ACTION: </w:t>
      </w:r>
      <w:r w:rsidR="00272FA4" w:rsidRPr="00EF08AE">
        <w:rPr>
          <w:rFonts w:ascii="Arial" w:hAnsi="Arial" w:cs="Arial"/>
          <w:bCs/>
        </w:rPr>
        <w:t>RAN WG1</w:t>
      </w:r>
      <w:r w:rsidRPr="00EF08AE">
        <w:rPr>
          <w:rFonts w:ascii="Arial" w:hAnsi="Arial" w:cs="Arial"/>
        </w:rPr>
        <w:t xml:space="preserve"> </w:t>
      </w:r>
      <w:r w:rsidR="00FB55D7" w:rsidRPr="00EF08AE">
        <w:rPr>
          <w:rFonts w:ascii="Arial" w:hAnsi="Arial" w:cs="Arial"/>
        </w:rPr>
        <w:t>kindly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asks </w:t>
      </w:r>
      <w:r w:rsidR="00272FA4" w:rsidRPr="00EF08AE">
        <w:rPr>
          <w:rFonts w:ascii="Arial" w:hAnsi="Arial" w:cs="Arial"/>
          <w:bCs/>
        </w:rPr>
        <w:t>RAN WG4</w:t>
      </w:r>
      <w:r w:rsidRPr="00EF08AE">
        <w:rPr>
          <w:rFonts w:ascii="Arial" w:hAnsi="Arial" w:cs="Arial"/>
        </w:rPr>
        <w:t xml:space="preserve"> to </w:t>
      </w:r>
      <w:r w:rsidR="00FB55D7" w:rsidRPr="00EF08AE">
        <w:rPr>
          <w:rFonts w:ascii="Arial" w:hAnsi="Arial" w:cs="Arial"/>
        </w:rPr>
        <w:t>take above considerations for their future work</w:t>
      </w:r>
      <w:r w:rsidR="009002D9" w:rsidRPr="00EF08AE">
        <w:rPr>
          <w:rFonts w:ascii="Arial" w:hAnsi="Arial" w:cs="Arial"/>
        </w:rPr>
        <w:t xml:space="preserve">. </w:t>
      </w:r>
    </w:p>
    <w:p w14:paraId="61EA47B5" w14:textId="77777777" w:rsidR="00DF7758" w:rsidRPr="00EF08AE" w:rsidRDefault="00DF775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3A20D431" w14:textId="6C5C29A4" w:rsidR="00DF7758" w:rsidRPr="00EF08AE" w:rsidRDefault="00DF7758" w:rsidP="00DF7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</w:t>
      </w:r>
      <w:r w:rsidR="00FB55D7" w:rsidRPr="00EF08AE">
        <w:rPr>
          <w:rFonts w:ascii="Arial" w:hAnsi="Arial" w:cs="Arial"/>
          <w:bCs/>
        </w:rPr>
        <w:t xml:space="preserve">WG1 Meeting #96 </w:t>
      </w:r>
      <w:r w:rsidR="00FB55D7" w:rsidRPr="00EF08AE">
        <w:rPr>
          <w:rFonts w:ascii="Arial" w:hAnsi="Arial" w:cs="Arial"/>
          <w:bCs/>
        </w:rPr>
        <w:tab/>
        <w:t xml:space="preserve">   25</w:t>
      </w:r>
      <w:r w:rsidRPr="00EF08AE">
        <w:rPr>
          <w:rFonts w:ascii="Arial" w:hAnsi="Arial" w:cs="Arial"/>
          <w:bCs/>
        </w:rPr>
        <w:t xml:space="preserve">th </w:t>
      </w:r>
      <w:r w:rsidR="00FB55D7" w:rsidRPr="00EF08AE">
        <w:rPr>
          <w:rFonts w:ascii="Arial" w:hAnsi="Arial" w:cs="Arial"/>
          <w:bCs/>
        </w:rPr>
        <w:t>Feb – 1st Mar 2019</w:t>
      </w:r>
      <w:r w:rsidRPr="00EF08AE">
        <w:rPr>
          <w:rFonts w:ascii="Arial" w:hAnsi="Arial" w:cs="Arial"/>
          <w:bCs/>
        </w:rPr>
        <w:tab/>
      </w:r>
      <w:r w:rsidR="00FB55D7" w:rsidRPr="00EF08AE">
        <w:rPr>
          <w:rFonts w:ascii="Arial" w:hAnsi="Arial" w:cs="Arial"/>
          <w:bCs/>
        </w:rPr>
        <w:t>Athens</w:t>
      </w:r>
      <w:r w:rsidRPr="00EF08AE">
        <w:rPr>
          <w:rFonts w:ascii="Arial" w:hAnsi="Arial" w:cs="Arial"/>
          <w:bCs/>
        </w:rPr>
        <w:t xml:space="preserve">, </w:t>
      </w:r>
      <w:r w:rsidR="00FB55D7" w:rsidRPr="00EF08AE">
        <w:rPr>
          <w:rFonts w:ascii="Arial" w:hAnsi="Arial" w:cs="Arial"/>
          <w:bCs/>
        </w:rPr>
        <w:t>Greece</w:t>
      </w:r>
      <w:r w:rsidRPr="00EF08AE">
        <w:rPr>
          <w:rFonts w:ascii="Arial" w:hAnsi="Arial" w:cs="Arial"/>
          <w:bCs/>
        </w:rPr>
        <w:t>.</w:t>
      </w:r>
    </w:p>
    <w:p w14:paraId="18792169" w14:textId="1025B890" w:rsidR="00DF7758" w:rsidRPr="00EF08AE" w:rsidRDefault="00FB55D7" w:rsidP="00DF7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</w:t>
      </w:r>
      <w:r w:rsidR="00DF7758" w:rsidRPr="00EF08AE">
        <w:rPr>
          <w:rFonts w:ascii="Arial" w:hAnsi="Arial" w:cs="Arial"/>
          <w:bCs/>
        </w:rPr>
        <w:t xml:space="preserve"> Meeting #</w:t>
      </w:r>
      <w:r w:rsidRPr="00EF08AE">
        <w:rPr>
          <w:rFonts w:ascii="Arial" w:hAnsi="Arial" w:cs="Arial"/>
          <w:bCs/>
        </w:rPr>
        <w:t>96</w:t>
      </w:r>
      <w:proofErr w:type="gramStart"/>
      <w:r w:rsidRPr="00EF08AE">
        <w:rPr>
          <w:rFonts w:ascii="Arial" w:hAnsi="Arial" w:cs="Arial"/>
          <w:bCs/>
        </w:rPr>
        <w:t>bis  8</w:t>
      </w:r>
      <w:proofErr w:type="gramEnd"/>
      <w:r w:rsidRPr="00EF08AE">
        <w:rPr>
          <w:rFonts w:ascii="Arial" w:hAnsi="Arial" w:cs="Arial"/>
          <w:bCs/>
        </w:rPr>
        <w:t>th – 12th Apr 2019</w:t>
      </w:r>
      <w:r w:rsidRPr="00EF08AE">
        <w:rPr>
          <w:rFonts w:ascii="Arial" w:hAnsi="Arial" w:cs="Arial"/>
          <w:bCs/>
        </w:rPr>
        <w:tab/>
        <w:t>China</w:t>
      </w:r>
    </w:p>
    <w:p w14:paraId="7F61DC84" w14:textId="724571D4" w:rsidR="007D5796" w:rsidRDefault="007D5796" w:rsidP="00DF7758">
      <w:pPr>
        <w:rPr>
          <w:rFonts w:eastAsia="MS Mincho"/>
          <w:lang w:eastAsia="ja-JP"/>
        </w:rPr>
      </w:pPr>
    </w:p>
    <w:sectPr w:rsidR="007D5796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63977" w14:textId="77777777" w:rsidR="00D937F3" w:rsidRDefault="00D937F3" w:rsidP="00083046">
      <w:r>
        <w:separator/>
      </w:r>
    </w:p>
  </w:endnote>
  <w:endnote w:type="continuationSeparator" w:id="0">
    <w:p w14:paraId="55471446" w14:textId="77777777" w:rsidR="00D937F3" w:rsidRDefault="00D937F3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1BE71" w14:textId="77777777" w:rsidR="00D937F3" w:rsidRDefault="00D937F3" w:rsidP="00083046">
      <w:r>
        <w:separator/>
      </w:r>
    </w:p>
  </w:footnote>
  <w:footnote w:type="continuationSeparator" w:id="0">
    <w:p w14:paraId="185F84BD" w14:textId="77777777" w:rsidR="00D937F3" w:rsidRDefault="00D937F3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A32483" w:rsidRDefault="00A324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9"/>
  </w:num>
  <w:num w:numId="4">
    <w:abstractNumId w:val="27"/>
  </w:num>
  <w:num w:numId="5">
    <w:abstractNumId w:val="17"/>
  </w:num>
  <w:num w:numId="6">
    <w:abstractNumId w:val="2"/>
  </w:num>
  <w:num w:numId="7">
    <w:abstractNumId w:val="7"/>
  </w:num>
  <w:num w:numId="8">
    <w:abstractNumId w:val="6"/>
  </w:num>
  <w:num w:numId="9">
    <w:abstractNumId w:val="3"/>
  </w:num>
  <w:num w:numId="10">
    <w:abstractNumId w:val="4"/>
  </w:num>
  <w:num w:numId="11">
    <w:abstractNumId w:val="15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10"/>
  </w:num>
  <w:num w:numId="15">
    <w:abstractNumId w:val="29"/>
  </w:num>
  <w:num w:numId="16">
    <w:abstractNumId w:val="22"/>
  </w:num>
  <w:num w:numId="17">
    <w:abstractNumId w:val="0"/>
  </w:num>
  <w:num w:numId="18">
    <w:abstractNumId w:val="12"/>
  </w:num>
  <w:num w:numId="19">
    <w:abstractNumId w:val="20"/>
  </w:num>
  <w:num w:numId="20">
    <w:abstractNumId w:val="18"/>
  </w:num>
  <w:num w:numId="21">
    <w:abstractNumId w:val="13"/>
  </w:num>
  <w:num w:numId="22">
    <w:abstractNumId w:val="14"/>
  </w:num>
  <w:num w:numId="23">
    <w:abstractNumId w:val="21"/>
  </w:num>
  <w:num w:numId="24">
    <w:abstractNumId w:val="8"/>
  </w:num>
  <w:num w:numId="25">
    <w:abstractNumId w:val="1"/>
  </w:num>
  <w:num w:numId="26">
    <w:abstractNumId w:val="25"/>
  </w:num>
  <w:num w:numId="27">
    <w:abstractNumId w:val="23"/>
  </w:num>
  <w:num w:numId="28">
    <w:abstractNumId w:val="16"/>
  </w:num>
  <w:num w:numId="29">
    <w:abstractNumId w:val="26"/>
  </w:num>
  <w:num w:numId="30">
    <w:abstractNumId w:val="28"/>
  </w:num>
  <w:num w:numId="31">
    <w:abstractNumId w:val="30"/>
  </w:num>
  <w:num w:numId="32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34B6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CE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목록 단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列出段落1 Char,中等深浅网格 1 - 着色 21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CB73F-61C5-4F44-BED1-DFF2C0ED6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4463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Hongbo Si</cp:lastModifiedBy>
  <cp:revision>39</cp:revision>
  <cp:lastPrinted>2012-03-15T10:36:00Z</cp:lastPrinted>
  <dcterms:created xsi:type="dcterms:W3CDTF">2018-11-02T14:04:00Z</dcterms:created>
  <dcterms:modified xsi:type="dcterms:W3CDTF">2019-01-11T14:35:00Z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